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63D" w:rsidRDefault="001F663D" w:rsidP="001F663D">
      <w:pPr>
        <w:spacing w:line="480" w:lineRule="auto"/>
        <w:rPr>
          <w:rFonts w:asciiTheme="majorBidi" w:hAnsiTheme="majorBidi" w:cstheme="majorBidi"/>
          <w:sz w:val="24"/>
          <w:szCs w:val="24"/>
        </w:rPr>
      </w:pPr>
    </w:p>
    <w:p w:rsidR="001F663D" w:rsidRDefault="001F663D" w:rsidP="001F663D">
      <w:pPr>
        <w:spacing w:line="480" w:lineRule="auto"/>
        <w:ind w:firstLine="720"/>
        <w:jc w:val="center"/>
        <w:rPr>
          <w:rFonts w:ascii="Times New Roman" w:hAnsi="Times New Roman"/>
        </w:rPr>
      </w:pPr>
    </w:p>
    <w:p w:rsidR="001F663D" w:rsidRDefault="001F663D" w:rsidP="001F663D">
      <w:pPr>
        <w:spacing w:line="480" w:lineRule="auto"/>
        <w:ind w:firstLine="720"/>
        <w:jc w:val="center"/>
        <w:rPr>
          <w:rFonts w:ascii="Times New Roman" w:hAnsi="Times New Roman"/>
        </w:rPr>
      </w:pPr>
    </w:p>
    <w:p w:rsidR="001F663D" w:rsidRPr="00150898" w:rsidRDefault="001F663D" w:rsidP="001F663D">
      <w:pPr>
        <w:spacing w:line="480" w:lineRule="auto"/>
        <w:ind w:firstLine="720"/>
        <w:jc w:val="center"/>
        <w:rPr>
          <w:rFonts w:ascii="Times New Roman" w:hAnsi="Times New Roman"/>
        </w:rPr>
      </w:pPr>
      <w:r>
        <w:rPr>
          <w:rFonts w:ascii="Times New Roman" w:hAnsi="Times New Roman"/>
        </w:rPr>
        <w:t>Law111</w:t>
      </w:r>
    </w:p>
    <w:p w:rsidR="001F663D" w:rsidRPr="00150898" w:rsidRDefault="001F663D" w:rsidP="001F663D">
      <w:pPr>
        <w:spacing w:line="480" w:lineRule="auto"/>
        <w:ind w:firstLine="720"/>
        <w:jc w:val="center"/>
        <w:rPr>
          <w:rFonts w:ascii="Times New Roman" w:hAnsi="Times New Roman"/>
        </w:rPr>
      </w:pPr>
      <w:r w:rsidRPr="00150898">
        <w:rPr>
          <w:rFonts w:ascii="Times New Roman" w:hAnsi="Times New Roman"/>
        </w:rPr>
        <w:t>Student’s Name</w:t>
      </w:r>
    </w:p>
    <w:p w:rsidR="001F663D" w:rsidRPr="00150898" w:rsidRDefault="001F663D" w:rsidP="001F663D">
      <w:pPr>
        <w:spacing w:line="480" w:lineRule="auto"/>
        <w:ind w:firstLine="720"/>
        <w:jc w:val="center"/>
        <w:rPr>
          <w:rFonts w:ascii="Times New Roman" w:hAnsi="Times New Roman"/>
        </w:rPr>
      </w:pPr>
      <w:r w:rsidRPr="00150898">
        <w:rPr>
          <w:rFonts w:ascii="Times New Roman" w:hAnsi="Times New Roman"/>
        </w:rPr>
        <w:t>Institutional Affiliation</w:t>
      </w:r>
    </w:p>
    <w:p w:rsidR="001F663D" w:rsidRPr="00150898" w:rsidRDefault="001F663D" w:rsidP="001F663D">
      <w:pPr>
        <w:spacing w:line="480" w:lineRule="auto"/>
        <w:ind w:firstLine="720"/>
        <w:jc w:val="center"/>
        <w:rPr>
          <w:rFonts w:ascii="Times New Roman" w:hAnsi="Times New Roman"/>
        </w:rPr>
      </w:pPr>
      <w:r w:rsidRPr="00150898">
        <w:rPr>
          <w:rFonts w:ascii="Times New Roman" w:hAnsi="Times New Roman"/>
        </w:rPr>
        <w:t>Date</w:t>
      </w:r>
    </w:p>
    <w:p w:rsidR="001F663D" w:rsidRPr="001F663D" w:rsidRDefault="001F663D" w:rsidP="001F663D">
      <w:pPr>
        <w:spacing w:line="480" w:lineRule="auto"/>
        <w:ind w:firstLine="720"/>
        <w:jc w:val="center"/>
        <w:rPr>
          <w:rFonts w:ascii="Times New Roman" w:hAnsi="Times New Roman"/>
        </w:rPr>
      </w:pPr>
      <w:r>
        <w:rPr>
          <w:rFonts w:asciiTheme="majorBidi" w:hAnsiTheme="majorBidi" w:cstheme="majorBidi"/>
          <w:sz w:val="24"/>
          <w:szCs w:val="24"/>
        </w:rPr>
        <w:br w:type="page"/>
      </w:r>
    </w:p>
    <w:p w:rsidR="001F663D" w:rsidRPr="007369B3" w:rsidRDefault="001F663D" w:rsidP="001F663D">
      <w:pPr>
        <w:spacing w:line="480" w:lineRule="auto"/>
        <w:rPr>
          <w:rFonts w:asciiTheme="majorBidi" w:hAnsiTheme="majorBidi" w:cstheme="majorBidi"/>
          <w:b/>
          <w:sz w:val="24"/>
          <w:szCs w:val="24"/>
        </w:rPr>
      </w:pPr>
      <w:r w:rsidRPr="007369B3">
        <w:rPr>
          <w:rFonts w:asciiTheme="majorBidi" w:hAnsiTheme="majorBidi" w:cstheme="majorBidi"/>
          <w:b/>
          <w:sz w:val="24"/>
          <w:szCs w:val="24"/>
        </w:rPr>
        <w:lastRenderedPageBreak/>
        <w:t xml:space="preserve">1-Please answer the following questions. </w:t>
      </w:r>
    </w:p>
    <w:p w:rsidR="001F663D" w:rsidRPr="007369B3" w:rsidRDefault="001F663D" w:rsidP="001F663D">
      <w:pPr>
        <w:pStyle w:val="ListParagraph"/>
        <w:numPr>
          <w:ilvl w:val="0"/>
          <w:numId w:val="1"/>
        </w:numPr>
        <w:spacing w:line="480" w:lineRule="auto"/>
        <w:rPr>
          <w:rFonts w:asciiTheme="majorBidi" w:hAnsiTheme="majorBidi" w:cstheme="majorBidi"/>
          <w:b/>
          <w:sz w:val="24"/>
          <w:szCs w:val="24"/>
        </w:rPr>
      </w:pPr>
      <w:r w:rsidRPr="007369B3">
        <w:rPr>
          <w:rFonts w:asciiTheme="majorBidi" w:hAnsiTheme="majorBidi" w:cstheme="majorBidi"/>
          <w:b/>
          <w:sz w:val="24"/>
          <w:szCs w:val="24"/>
        </w:rPr>
        <w:t xml:space="preserve">In the event that the sale was damaged before delivering the goods to the buyer, who bears the risk of loss? </w:t>
      </w:r>
    </w:p>
    <w:p w:rsidR="001F663D" w:rsidRPr="001F663D" w:rsidRDefault="001F663D" w:rsidP="009A1D3F">
      <w:pPr>
        <w:spacing w:line="480" w:lineRule="auto"/>
        <w:ind w:firstLine="720"/>
        <w:jc w:val="both"/>
        <w:rPr>
          <w:rFonts w:ascii="Times New Roman" w:hAnsi="Times New Roman" w:cs="Times New Roman"/>
          <w:sz w:val="24"/>
          <w:szCs w:val="24"/>
        </w:rPr>
      </w:pPr>
      <w:r w:rsidRPr="00F40CCA">
        <w:rPr>
          <w:rFonts w:asciiTheme="majorBidi" w:hAnsiTheme="majorBidi" w:cstheme="majorBidi"/>
          <w:sz w:val="24"/>
          <w:szCs w:val="24"/>
        </w:rPr>
        <w:t xml:space="preserve">When selling goods is </w:t>
      </w:r>
      <w:r w:rsidR="009A1D3F">
        <w:rPr>
          <w:rFonts w:asciiTheme="majorBidi" w:hAnsiTheme="majorBidi" w:cstheme="majorBidi"/>
          <w:sz w:val="24"/>
          <w:szCs w:val="24"/>
        </w:rPr>
        <w:t>done</w:t>
      </w:r>
      <w:r w:rsidRPr="00F40CCA">
        <w:rPr>
          <w:rFonts w:asciiTheme="majorBidi" w:hAnsiTheme="majorBidi" w:cstheme="majorBidi"/>
          <w:sz w:val="24"/>
          <w:szCs w:val="24"/>
        </w:rPr>
        <w:t>, the damage occurs before they get to the buyer.  The contract law is applied to examine the party to bear the whole of this burden in the damage risk experienced</w:t>
      </w:r>
      <w:r>
        <w:rPr>
          <w:rFonts w:asciiTheme="majorBidi" w:hAnsiTheme="majorBidi" w:cstheme="majorBidi"/>
          <w:sz w:val="24"/>
          <w:szCs w:val="24"/>
        </w:rPr>
        <w:t xml:space="preserve"> </w:t>
      </w:r>
      <w:r>
        <w:rPr>
          <w:rFonts w:ascii="Times New Roman" w:hAnsi="Times New Roman" w:cs="Times New Roman"/>
          <w:sz w:val="24"/>
          <w:szCs w:val="24"/>
        </w:rPr>
        <w:t>(Edwards, 2019)</w:t>
      </w:r>
      <w:r w:rsidRPr="00F40CCA">
        <w:rPr>
          <w:rFonts w:asciiTheme="majorBidi" w:hAnsiTheme="majorBidi" w:cstheme="majorBidi"/>
          <w:sz w:val="24"/>
          <w:szCs w:val="24"/>
        </w:rPr>
        <w:t>. Considering delivery is to be made by other means of carrier apart from the seller, then the buyer is to take the loss to the risk. In other cases, where the buyer does not assume any possession of the goods, then the shift of loss shifts to the seller.</w:t>
      </w:r>
    </w:p>
    <w:p w:rsidR="001F663D" w:rsidRPr="007369B3" w:rsidRDefault="001F663D" w:rsidP="001F663D">
      <w:pPr>
        <w:spacing w:line="480" w:lineRule="auto"/>
        <w:rPr>
          <w:rFonts w:asciiTheme="majorBidi" w:hAnsiTheme="majorBidi" w:cstheme="majorBidi"/>
          <w:b/>
          <w:sz w:val="24"/>
          <w:szCs w:val="24"/>
        </w:rPr>
      </w:pPr>
      <w:r w:rsidRPr="007369B3">
        <w:rPr>
          <w:rFonts w:asciiTheme="majorBidi" w:hAnsiTheme="majorBidi" w:cstheme="majorBidi"/>
          <w:b/>
          <w:sz w:val="24"/>
          <w:szCs w:val="24"/>
        </w:rPr>
        <w:t>B-The rights that are not related to money or involved money are known as?</w:t>
      </w:r>
    </w:p>
    <w:p w:rsidR="001F663D" w:rsidRPr="0056388D" w:rsidRDefault="001F663D" w:rsidP="001F663D">
      <w:pPr>
        <w:spacing w:line="480" w:lineRule="auto"/>
        <w:rPr>
          <w:rFonts w:asciiTheme="majorBidi" w:hAnsiTheme="majorBidi" w:cstheme="majorBidi"/>
          <w:sz w:val="24"/>
          <w:szCs w:val="24"/>
        </w:rPr>
      </w:pPr>
      <w:r>
        <w:rPr>
          <w:rFonts w:asciiTheme="majorBidi" w:hAnsiTheme="majorBidi" w:cstheme="majorBidi"/>
          <w:sz w:val="24"/>
          <w:szCs w:val="24"/>
        </w:rPr>
        <w:tab/>
        <w:t xml:space="preserve">Money laundering. This is when money is obtained without legal terms.  </w:t>
      </w:r>
    </w:p>
    <w:p w:rsidR="001F663D" w:rsidRPr="007369B3" w:rsidRDefault="001F663D" w:rsidP="001F663D">
      <w:pPr>
        <w:spacing w:line="480" w:lineRule="auto"/>
        <w:rPr>
          <w:rFonts w:asciiTheme="majorBidi" w:hAnsiTheme="majorBidi" w:cstheme="majorBidi"/>
          <w:b/>
          <w:sz w:val="24"/>
          <w:szCs w:val="24"/>
        </w:rPr>
      </w:pPr>
      <w:r w:rsidRPr="007369B3">
        <w:rPr>
          <w:rFonts w:asciiTheme="majorBidi" w:hAnsiTheme="majorBidi" w:cstheme="majorBidi"/>
          <w:b/>
          <w:sz w:val="24"/>
          <w:szCs w:val="24"/>
        </w:rPr>
        <w:t xml:space="preserve">2- What is the difference between a contract that is binding on one party and a contract which is binding on two or more parties? </w:t>
      </w:r>
    </w:p>
    <w:p w:rsidR="001F663D" w:rsidRDefault="001F663D" w:rsidP="007369B3">
      <w:pPr>
        <w:spacing w:line="480" w:lineRule="auto"/>
        <w:ind w:firstLine="720"/>
        <w:jc w:val="both"/>
        <w:rPr>
          <w:rFonts w:asciiTheme="majorBidi" w:hAnsiTheme="majorBidi" w:cstheme="majorBidi"/>
          <w:sz w:val="24"/>
          <w:szCs w:val="24"/>
        </w:rPr>
      </w:pPr>
      <w:r w:rsidRPr="00F40CCA">
        <w:rPr>
          <w:rFonts w:asciiTheme="majorBidi" w:hAnsiTheme="majorBidi" w:cstheme="majorBidi"/>
          <w:sz w:val="24"/>
          <w:szCs w:val="24"/>
        </w:rPr>
        <w:t>A unilateral contract is when one party makes an agreement in an exchange deal for an act with another party. For instance, when you buy an insurance policy, you pay a premium (act) for the sake of the insurer's promise to grant future claims. Contrary, a bilateral contract is when each party has made a promise to the other. For example, when a tender granted contractor by a company, there is a promise to pay a specified amount upon completion.</w:t>
      </w:r>
    </w:p>
    <w:p w:rsidR="001F663D" w:rsidRPr="007369B3" w:rsidRDefault="001F663D" w:rsidP="007369B3">
      <w:pPr>
        <w:spacing w:line="480" w:lineRule="auto"/>
        <w:jc w:val="both"/>
        <w:rPr>
          <w:rFonts w:asciiTheme="majorBidi" w:hAnsiTheme="majorBidi" w:cstheme="majorBidi"/>
          <w:b/>
          <w:sz w:val="24"/>
          <w:szCs w:val="24"/>
        </w:rPr>
      </w:pPr>
      <w:r w:rsidRPr="007369B3">
        <w:rPr>
          <w:rFonts w:asciiTheme="majorBidi" w:hAnsiTheme="majorBidi" w:cstheme="majorBidi"/>
          <w:b/>
          <w:sz w:val="24"/>
          <w:szCs w:val="24"/>
        </w:rPr>
        <w:lastRenderedPageBreak/>
        <w:t xml:space="preserve">3-Norah signed a contractual agreement with an interior design company without specifying the location in the contract? What is the status of the contract here? Explain Why? </w:t>
      </w:r>
    </w:p>
    <w:p w:rsidR="001F663D" w:rsidRDefault="001F663D" w:rsidP="001F663D">
      <w:pPr>
        <w:spacing w:line="480" w:lineRule="auto"/>
        <w:ind w:firstLine="720"/>
        <w:jc w:val="both"/>
        <w:rPr>
          <w:rFonts w:asciiTheme="majorBidi" w:hAnsiTheme="majorBidi" w:cstheme="majorBidi"/>
          <w:sz w:val="24"/>
          <w:szCs w:val="24"/>
        </w:rPr>
      </w:pPr>
      <w:r w:rsidRPr="00F40CCA">
        <w:rPr>
          <w:rFonts w:asciiTheme="majorBidi" w:hAnsiTheme="majorBidi" w:cstheme="majorBidi"/>
          <w:sz w:val="24"/>
          <w:szCs w:val="24"/>
        </w:rPr>
        <w:t>The status of the agreement made is pending. Norah signed the contract with the interior design company to show interest. As the customer, Norah met the initial requirements and agreements relating to the defined scope of work, and the contract is to be processed to fully execute and check through whether it's followed the legal review. Some data is filled in the data fields provided but not fully entered as the location is not outlined in the contract. The status shows that a contract was instantiated.  Because of some missing data, it is marked as pending and active by default upon its minimal system data validation.</w:t>
      </w:r>
    </w:p>
    <w:p w:rsidR="001F663D" w:rsidRPr="009A1D3F" w:rsidRDefault="001F663D" w:rsidP="001F663D">
      <w:pPr>
        <w:spacing w:line="480" w:lineRule="auto"/>
        <w:jc w:val="both"/>
        <w:rPr>
          <w:rFonts w:asciiTheme="majorBidi" w:hAnsiTheme="majorBidi" w:cstheme="majorBidi"/>
          <w:b/>
          <w:sz w:val="24"/>
          <w:szCs w:val="24"/>
        </w:rPr>
      </w:pPr>
      <w:r w:rsidRPr="009A1D3F">
        <w:rPr>
          <w:rFonts w:asciiTheme="majorBidi" w:hAnsiTheme="majorBidi" w:cstheme="majorBidi"/>
          <w:b/>
          <w:sz w:val="24"/>
          <w:szCs w:val="24"/>
        </w:rPr>
        <w:t xml:space="preserve">4- Ali believed that one of his business partners was threatening to kidnap his children and burn his house, which prompted him to sell his share of the company. After selling his shares, Ali discovered that the threat came from a different person, so he filed a suit for duress. Based on the facts of this case, how do you address this issue? </w:t>
      </w:r>
    </w:p>
    <w:p w:rsidR="001F663D" w:rsidRPr="0056388D" w:rsidRDefault="001F663D" w:rsidP="001F663D">
      <w:pPr>
        <w:spacing w:line="480" w:lineRule="auto"/>
        <w:ind w:firstLine="720"/>
        <w:rPr>
          <w:rFonts w:asciiTheme="majorBidi" w:hAnsiTheme="majorBidi" w:cstheme="majorBidi"/>
          <w:sz w:val="24"/>
          <w:szCs w:val="24"/>
        </w:rPr>
      </w:pPr>
      <w:r w:rsidRPr="00F40CCA">
        <w:rPr>
          <w:rFonts w:asciiTheme="majorBidi" w:hAnsiTheme="majorBidi" w:cstheme="majorBidi"/>
          <w:sz w:val="24"/>
          <w:szCs w:val="24"/>
        </w:rPr>
        <w:t xml:space="preserve">Ali's decision is a concept of undue influence forced by a threat that caused psychological pressure. Deciding to sell shares is not the best interest as it was facilitated by the belief of business partners aimed at kidnapping his children and burn the house. This act compelled Ali to take action that he never intended and was against the plans. By this time, Ali's state of mind was corrupt and unstable, thus creating intense pressure and worry. Later, Ali found that the threat came from a different person hence raising a concern to file a suit for duress. The appeal is legal </w:t>
      </w:r>
      <w:r w:rsidRPr="00F40CCA">
        <w:rPr>
          <w:rFonts w:asciiTheme="majorBidi" w:hAnsiTheme="majorBidi" w:cstheme="majorBidi"/>
          <w:sz w:val="24"/>
          <w:szCs w:val="24"/>
        </w:rPr>
        <w:lastRenderedPageBreak/>
        <w:t>as selling of shares was the accordance of mind distress exerted from the threat,</w:t>
      </w:r>
      <w:r>
        <w:rPr>
          <w:rFonts w:asciiTheme="majorBidi" w:hAnsiTheme="majorBidi" w:cstheme="majorBidi"/>
          <w:sz w:val="24"/>
          <w:szCs w:val="24"/>
        </w:rPr>
        <w:t xml:space="preserve"> and he feared for their safety. </w:t>
      </w:r>
    </w:p>
    <w:p w:rsidR="001F663D" w:rsidRPr="009A1D3F" w:rsidRDefault="001F663D" w:rsidP="001F663D">
      <w:pPr>
        <w:spacing w:line="480" w:lineRule="auto"/>
        <w:jc w:val="both"/>
        <w:rPr>
          <w:rFonts w:asciiTheme="majorBidi" w:hAnsiTheme="majorBidi" w:cstheme="majorBidi"/>
          <w:b/>
          <w:sz w:val="24"/>
          <w:szCs w:val="24"/>
        </w:rPr>
      </w:pPr>
      <w:r w:rsidRPr="009A1D3F">
        <w:rPr>
          <w:rFonts w:asciiTheme="majorBidi" w:hAnsiTheme="majorBidi" w:cstheme="majorBidi"/>
          <w:b/>
          <w:sz w:val="24"/>
          <w:szCs w:val="24"/>
        </w:rPr>
        <w:t>5- Ali sold a gas station to Ahmad. However, before selling the gas station, a decision had been issued by the civil defense to revoke the license that was provided to Ali for the reason that the gas station has issues related to safety. Ali did not mention the decision of cancelation to Ahmad. When Ahmad wanted to complete the licensing procedures, he was shocked by the authority's refusal. What should Ahmad do? Explain why</w:t>
      </w:r>
    </w:p>
    <w:p w:rsidR="001F663D" w:rsidRPr="0056388D" w:rsidRDefault="001F663D" w:rsidP="001F663D">
      <w:pPr>
        <w:spacing w:line="480" w:lineRule="auto"/>
        <w:ind w:firstLine="720"/>
        <w:rPr>
          <w:rFonts w:asciiTheme="majorBidi" w:hAnsiTheme="majorBidi" w:cstheme="majorBidi"/>
          <w:sz w:val="24"/>
          <w:szCs w:val="24"/>
        </w:rPr>
      </w:pPr>
      <w:r w:rsidRPr="00F40CCA">
        <w:rPr>
          <w:rFonts w:asciiTheme="majorBidi" w:hAnsiTheme="majorBidi" w:cstheme="majorBidi"/>
          <w:sz w:val="24"/>
          <w:szCs w:val="24"/>
        </w:rPr>
        <w:t xml:space="preserve">Ahmad should address the issues first to Ali and seek more information about the gas station sold to find the reason why the authority could not license the business. This consultation enables to understand what exactly the problem is for a detailed recording of this complaint. After understanding and recording all relevant facts, Ahmad can discuss the options of how to fix the problem either through compensation or taking a legal act for the appeal of the fraud committed by Ali. This Act should be taken quickly to avoid undergoing any loss and also give the legal authorities enough time to </w:t>
      </w:r>
      <w:r>
        <w:rPr>
          <w:rFonts w:asciiTheme="majorBidi" w:hAnsiTheme="majorBidi" w:cstheme="majorBidi"/>
          <w:sz w:val="24"/>
          <w:szCs w:val="24"/>
        </w:rPr>
        <w:t>navigate and decide on the case.</w:t>
      </w:r>
    </w:p>
    <w:p w:rsidR="001F663D" w:rsidRPr="009A1D3F" w:rsidRDefault="001F663D" w:rsidP="001F663D">
      <w:pPr>
        <w:spacing w:line="480" w:lineRule="auto"/>
        <w:jc w:val="both"/>
        <w:rPr>
          <w:rFonts w:asciiTheme="majorBidi" w:hAnsiTheme="majorBidi" w:cstheme="majorBidi"/>
          <w:b/>
          <w:sz w:val="24"/>
          <w:szCs w:val="24"/>
        </w:rPr>
      </w:pPr>
      <w:r w:rsidRPr="009A1D3F">
        <w:rPr>
          <w:rFonts w:asciiTheme="majorBidi" w:hAnsiTheme="majorBidi" w:cstheme="majorBidi"/>
          <w:b/>
          <w:sz w:val="24"/>
          <w:szCs w:val="24"/>
        </w:rPr>
        <w:t xml:space="preserve">6- Hind is interested in buying antiques from any heritage on the planet. One day, she bought an antique map from a store that she usually goes to twice a week. The store has a variety of different selection. Later on, Hind went to an expert to inspect the map. The expert told Hind that the map is very old. The expert also said that the map was printed approximately 90 years ago and it values a lot of money. On the other hand, when the owner of the sore “Adam” </w:t>
      </w:r>
      <w:r w:rsidRPr="009A1D3F">
        <w:rPr>
          <w:rFonts w:asciiTheme="majorBidi" w:hAnsiTheme="majorBidi" w:cstheme="majorBidi"/>
          <w:b/>
          <w:sz w:val="24"/>
          <w:szCs w:val="24"/>
        </w:rPr>
        <w:lastRenderedPageBreak/>
        <w:t xml:space="preserve">learned that the map was a valuable antique, he was very angry. Now Adam is informing Hind that he seeks to dissolve the selling deal for the reason that he thought the map was printed in recent times. </w:t>
      </w:r>
      <w:bookmarkStart w:id="0" w:name="_GoBack"/>
      <w:bookmarkEnd w:id="0"/>
    </w:p>
    <w:p w:rsidR="001F663D" w:rsidRDefault="001F663D" w:rsidP="001F663D">
      <w:pPr>
        <w:spacing w:line="480" w:lineRule="auto"/>
        <w:rPr>
          <w:rFonts w:asciiTheme="majorBidi" w:hAnsiTheme="majorBidi" w:cstheme="majorBidi"/>
          <w:sz w:val="24"/>
          <w:szCs w:val="24"/>
        </w:rPr>
      </w:pPr>
      <w:r w:rsidRPr="0056388D">
        <w:rPr>
          <w:rFonts w:asciiTheme="majorBidi" w:hAnsiTheme="majorBidi" w:cstheme="majorBidi"/>
          <w:sz w:val="24"/>
          <w:szCs w:val="24"/>
        </w:rPr>
        <w:t>Your task is to address the case in all aspects? Should Adam file</w:t>
      </w:r>
      <w:r>
        <w:rPr>
          <w:rFonts w:asciiTheme="majorBidi" w:hAnsiTheme="majorBidi" w:cstheme="majorBidi"/>
          <w:sz w:val="24"/>
          <w:szCs w:val="24"/>
        </w:rPr>
        <w:t xml:space="preserve"> a lawsuit</w:t>
      </w:r>
      <w:r w:rsidRPr="0056388D">
        <w:rPr>
          <w:rFonts w:asciiTheme="majorBidi" w:hAnsiTheme="majorBidi" w:cstheme="majorBidi"/>
          <w:sz w:val="24"/>
          <w:szCs w:val="24"/>
        </w:rPr>
        <w:t xml:space="preserve"> </w:t>
      </w:r>
      <w:r>
        <w:rPr>
          <w:rFonts w:asciiTheme="majorBidi" w:hAnsiTheme="majorBidi" w:cstheme="majorBidi"/>
          <w:sz w:val="24"/>
          <w:szCs w:val="24"/>
        </w:rPr>
        <w:t xml:space="preserve">under the facts </w:t>
      </w:r>
      <w:r w:rsidRPr="0056388D">
        <w:rPr>
          <w:rFonts w:asciiTheme="majorBidi" w:hAnsiTheme="majorBidi" w:cstheme="majorBidi"/>
          <w:sz w:val="24"/>
          <w:szCs w:val="24"/>
        </w:rPr>
        <w:t>alleged</w:t>
      </w:r>
      <w:r>
        <w:rPr>
          <w:rFonts w:asciiTheme="majorBidi" w:hAnsiTheme="majorBidi" w:cstheme="majorBidi"/>
          <w:sz w:val="24"/>
          <w:szCs w:val="24"/>
        </w:rPr>
        <w:t xml:space="preserve"> in this case</w:t>
      </w:r>
      <w:r w:rsidRPr="0056388D">
        <w:rPr>
          <w:rFonts w:asciiTheme="majorBidi" w:hAnsiTheme="majorBidi" w:cstheme="majorBidi"/>
          <w:sz w:val="24"/>
          <w:szCs w:val="24"/>
        </w:rPr>
        <w:t>? Explain and provide a very detailed answer.</w:t>
      </w:r>
    </w:p>
    <w:p w:rsidR="00E66791" w:rsidRDefault="001F663D" w:rsidP="001F663D">
      <w:pPr>
        <w:spacing w:line="480" w:lineRule="auto"/>
        <w:rPr>
          <w:rFonts w:asciiTheme="majorBidi" w:hAnsiTheme="majorBidi" w:cstheme="majorBidi"/>
          <w:sz w:val="24"/>
          <w:szCs w:val="24"/>
        </w:rPr>
      </w:pPr>
      <w:r w:rsidRPr="00F40CCA">
        <w:rPr>
          <w:rFonts w:asciiTheme="majorBidi" w:hAnsiTheme="majorBidi" w:cstheme="majorBidi"/>
          <w:sz w:val="24"/>
          <w:szCs w:val="24"/>
        </w:rPr>
        <w:t>First, Hind approached Adam as a customer interested in buying antiques, and after taking all legal measures, they came into agreement. Adam got into a bilateral contract with Hind by selling antique to Hind. Due to the concern of Hind of consulting the expert, it realized that the antique bought was valuable and precious. Later after Adam realized its value, he decides to dissolve the deal. Following all aspects and obligations developed when selling to Hind, Adam should not file the case as every legal term is observed when selling the antique, and the property no longer belongs to him. Upon selling the property, all the rights granted to Hind; thus, denying Adam any right of this appeal</w:t>
      </w:r>
      <w:r>
        <w:rPr>
          <w:rFonts w:asciiTheme="majorBidi" w:hAnsiTheme="majorBidi" w:cstheme="majorBidi"/>
          <w:sz w:val="24"/>
          <w:szCs w:val="24"/>
        </w:rPr>
        <w:t>.</w:t>
      </w:r>
    </w:p>
    <w:p w:rsidR="001F663D" w:rsidRDefault="001F663D" w:rsidP="001F663D">
      <w:pPr>
        <w:spacing w:line="480" w:lineRule="auto"/>
        <w:rPr>
          <w:rFonts w:asciiTheme="majorBidi" w:hAnsiTheme="majorBidi" w:cstheme="majorBidi"/>
          <w:sz w:val="24"/>
          <w:szCs w:val="24"/>
        </w:rPr>
      </w:pPr>
    </w:p>
    <w:p w:rsidR="001F663D" w:rsidRDefault="001F663D" w:rsidP="001F663D">
      <w:pPr>
        <w:spacing w:line="480" w:lineRule="auto"/>
        <w:rPr>
          <w:rFonts w:asciiTheme="majorBidi" w:hAnsiTheme="majorBidi" w:cstheme="majorBidi"/>
          <w:sz w:val="24"/>
          <w:szCs w:val="24"/>
        </w:rPr>
      </w:pPr>
    </w:p>
    <w:p w:rsidR="001F663D" w:rsidRDefault="001F663D" w:rsidP="001F663D">
      <w:pPr>
        <w:spacing w:line="480" w:lineRule="auto"/>
        <w:rPr>
          <w:rFonts w:asciiTheme="majorBidi" w:hAnsiTheme="majorBidi" w:cstheme="majorBidi"/>
          <w:sz w:val="24"/>
          <w:szCs w:val="24"/>
        </w:rPr>
      </w:pPr>
    </w:p>
    <w:p w:rsidR="001F663D" w:rsidRDefault="001F663D" w:rsidP="001F663D">
      <w:pPr>
        <w:spacing w:line="480" w:lineRule="auto"/>
        <w:rPr>
          <w:rFonts w:asciiTheme="majorBidi" w:hAnsiTheme="majorBidi" w:cstheme="majorBidi"/>
          <w:sz w:val="24"/>
          <w:szCs w:val="24"/>
        </w:rPr>
      </w:pPr>
    </w:p>
    <w:p w:rsidR="001F663D" w:rsidRDefault="001F663D" w:rsidP="001F663D">
      <w:pPr>
        <w:spacing w:line="480" w:lineRule="auto"/>
        <w:rPr>
          <w:rFonts w:asciiTheme="majorBidi" w:hAnsiTheme="majorBidi" w:cstheme="majorBidi"/>
          <w:sz w:val="24"/>
          <w:szCs w:val="24"/>
        </w:rPr>
      </w:pPr>
    </w:p>
    <w:p w:rsidR="001F663D" w:rsidRDefault="001F663D" w:rsidP="001F663D">
      <w:pPr>
        <w:spacing w:line="480" w:lineRule="auto"/>
        <w:rPr>
          <w:rFonts w:asciiTheme="majorBidi" w:hAnsiTheme="majorBidi" w:cstheme="majorBidi"/>
          <w:sz w:val="24"/>
          <w:szCs w:val="24"/>
        </w:rPr>
      </w:pPr>
    </w:p>
    <w:p w:rsidR="001F663D" w:rsidRDefault="001F663D" w:rsidP="001F663D">
      <w:pPr>
        <w:spacing w:line="480" w:lineRule="auto"/>
        <w:rPr>
          <w:rFonts w:asciiTheme="majorBidi" w:hAnsiTheme="majorBidi" w:cstheme="majorBidi"/>
          <w:sz w:val="24"/>
          <w:szCs w:val="24"/>
        </w:rPr>
      </w:pPr>
    </w:p>
    <w:p w:rsidR="001F663D" w:rsidRDefault="001F663D" w:rsidP="001F663D">
      <w:pPr>
        <w:spacing w:line="480" w:lineRule="auto"/>
        <w:jc w:val="center"/>
        <w:rPr>
          <w:rFonts w:asciiTheme="majorBidi" w:hAnsiTheme="majorBidi" w:cstheme="majorBidi"/>
          <w:sz w:val="24"/>
          <w:szCs w:val="24"/>
        </w:rPr>
      </w:pPr>
      <w:r>
        <w:rPr>
          <w:rFonts w:asciiTheme="majorBidi" w:hAnsiTheme="majorBidi" w:cstheme="majorBidi"/>
          <w:sz w:val="24"/>
          <w:szCs w:val="24"/>
        </w:rPr>
        <w:t>Reference</w:t>
      </w:r>
    </w:p>
    <w:p w:rsidR="001F663D" w:rsidRDefault="001F663D" w:rsidP="001F663D">
      <w:pPr>
        <w:spacing w:line="480" w:lineRule="auto"/>
        <w:ind w:left="720" w:hanging="720"/>
        <w:rPr>
          <w:rFonts w:ascii="Times New Roman" w:hAnsi="Times New Roman" w:cs="Times New Roman"/>
          <w:sz w:val="24"/>
          <w:szCs w:val="24"/>
        </w:rPr>
      </w:pPr>
      <w:r w:rsidRPr="001F663D">
        <w:rPr>
          <w:rFonts w:ascii="Times New Roman" w:hAnsi="Times New Roman" w:cs="Times New Roman"/>
          <w:sz w:val="24"/>
          <w:szCs w:val="24"/>
        </w:rPr>
        <w:t>Edwards, L. (2019). Corporate power in Australian policy making: The case of unfair contract laws. </w:t>
      </w:r>
      <w:r w:rsidRPr="001F663D">
        <w:rPr>
          <w:rFonts w:ascii="Times New Roman" w:hAnsi="Times New Roman" w:cs="Times New Roman"/>
          <w:i/>
          <w:sz w:val="24"/>
          <w:szCs w:val="24"/>
        </w:rPr>
        <w:t>Australian Journal of Public Administration,</w:t>
      </w:r>
      <w:r w:rsidRPr="001F663D">
        <w:rPr>
          <w:rFonts w:ascii="Times New Roman" w:hAnsi="Times New Roman" w:cs="Times New Roman"/>
          <w:sz w:val="24"/>
          <w:szCs w:val="24"/>
        </w:rPr>
        <w:t> 78(4), 516-529.</w:t>
      </w:r>
      <w:r>
        <w:rPr>
          <w:rFonts w:ascii="Times New Roman" w:hAnsi="Times New Roman" w:cs="Times New Roman"/>
          <w:sz w:val="24"/>
          <w:szCs w:val="24"/>
        </w:rPr>
        <w:t xml:space="preserve"> </w:t>
      </w:r>
    </w:p>
    <w:p w:rsidR="001F663D" w:rsidRPr="001F663D" w:rsidRDefault="001F663D">
      <w:pPr>
        <w:rPr>
          <w:rFonts w:ascii="Times New Roman" w:hAnsi="Times New Roman" w:cs="Times New Roman"/>
          <w:sz w:val="24"/>
          <w:szCs w:val="24"/>
        </w:rPr>
      </w:pPr>
    </w:p>
    <w:sectPr w:rsidR="001F663D" w:rsidRPr="001F663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E69" w:rsidRDefault="00235E69" w:rsidP="001F663D">
      <w:pPr>
        <w:spacing w:after="0" w:line="240" w:lineRule="auto"/>
      </w:pPr>
      <w:r>
        <w:separator/>
      </w:r>
    </w:p>
  </w:endnote>
  <w:endnote w:type="continuationSeparator" w:id="0">
    <w:p w:rsidR="00235E69" w:rsidRDefault="00235E69" w:rsidP="001F6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E69" w:rsidRDefault="00235E69" w:rsidP="001F663D">
      <w:pPr>
        <w:spacing w:after="0" w:line="240" w:lineRule="auto"/>
      </w:pPr>
      <w:r>
        <w:separator/>
      </w:r>
    </w:p>
  </w:footnote>
  <w:footnote w:type="continuationSeparator" w:id="0">
    <w:p w:rsidR="00235E69" w:rsidRDefault="00235E69" w:rsidP="001F66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134" w:type="dxa"/>
      <w:tblInd w:w="-157" w:type="dxa"/>
      <w:tblBorders>
        <w:top w:val="single" w:sz="12" w:space="0" w:color="auto"/>
        <w:bottom w:val="single" w:sz="12" w:space="0" w:color="auto"/>
        <w:insideV w:val="single" w:sz="4" w:space="0" w:color="auto"/>
      </w:tblBorders>
      <w:tblLook w:val="04A0" w:firstRow="1" w:lastRow="0" w:firstColumn="1" w:lastColumn="0" w:noHBand="0" w:noVBand="1"/>
    </w:tblPr>
    <w:tblGrid>
      <w:gridCol w:w="2820"/>
      <w:gridCol w:w="4296"/>
      <w:gridCol w:w="1943"/>
      <w:gridCol w:w="1242"/>
      <w:gridCol w:w="833"/>
    </w:tblGrid>
    <w:tr w:rsidR="001F663D" w:rsidRPr="00A90FDE" w:rsidTr="002E614A">
      <w:trPr>
        <w:gridAfter w:val="1"/>
        <w:wAfter w:w="833" w:type="dxa"/>
        <w:trHeight w:val="348"/>
      </w:trPr>
      <w:tc>
        <w:tcPr>
          <w:tcW w:w="2820" w:type="dxa"/>
          <w:tcBorders>
            <w:top w:val="nil"/>
            <w:bottom w:val="nil"/>
            <w:right w:val="nil"/>
          </w:tcBorders>
          <w:shd w:val="clear" w:color="auto" w:fill="auto"/>
        </w:tcPr>
        <w:p w:rsidR="001F663D" w:rsidRPr="00A90FDE" w:rsidRDefault="001F663D" w:rsidP="001F663D">
          <w:pPr>
            <w:tabs>
              <w:tab w:val="left" w:pos="1692"/>
            </w:tabs>
            <w:ind w:left="-108"/>
            <w:rPr>
              <w:rFonts w:ascii="Book Antiqua" w:hAnsi="Book Antiqua"/>
              <w:b/>
              <w:bCs/>
              <w:iCs/>
              <w:noProof/>
              <w:sz w:val="18"/>
              <w:szCs w:val="18"/>
            </w:rPr>
          </w:pPr>
          <w:r w:rsidRPr="00A90FDE">
            <w:rPr>
              <w:rFonts w:ascii="Book Antiqua" w:hAnsi="Book Antiqua"/>
              <w:b/>
              <w:bCs/>
              <w:iCs/>
              <w:noProof/>
              <w:sz w:val="18"/>
              <w:szCs w:val="18"/>
            </w:rPr>
            <w:t>COURSE CODE</w:t>
          </w:r>
          <w:r>
            <w:rPr>
              <w:rFonts w:ascii="Book Antiqua" w:hAnsi="Book Antiqua"/>
              <w:b/>
              <w:bCs/>
              <w:iCs/>
              <w:noProof/>
              <w:sz w:val="18"/>
              <w:szCs w:val="18"/>
            </w:rPr>
            <w:t xml:space="preserve"> &amp; </w:t>
          </w:r>
          <w:r w:rsidRPr="00A90FDE">
            <w:rPr>
              <w:rFonts w:ascii="Book Antiqua" w:hAnsi="Book Antiqua"/>
              <w:b/>
              <w:bCs/>
              <w:iCs/>
              <w:noProof/>
              <w:sz w:val="18"/>
              <w:szCs w:val="18"/>
            </w:rPr>
            <w:t>TITLE</w:t>
          </w:r>
        </w:p>
      </w:tc>
      <w:tc>
        <w:tcPr>
          <w:tcW w:w="4296" w:type="dxa"/>
          <w:tcBorders>
            <w:top w:val="nil"/>
            <w:left w:val="nil"/>
            <w:bottom w:val="nil"/>
            <w:right w:val="nil"/>
          </w:tcBorders>
          <w:shd w:val="clear" w:color="auto" w:fill="auto"/>
        </w:tcPr>
        <w:p w:rsidR="001F663D" w:rsidRPr="00A90FDE" w:rsidRDefault="001F663D" w:rsidP="001F663D">
          <w:pPr>
            <w:ind w:left="-108"/>
            <w:rPr>
              <w:rFonts w:ascii="Book Antiqua" w:hAnsi="Book Antiqua"/>
              <w:b/>
              <w:bCs/>
              <w:iCs/>
              <w:noProof/>
              <w:sz w:val="18"/>
              <w:szCs w:val="18"/>
            </w:rPr>
          </w:pPr>
          <w:r w:rsidRPr="00A90FDE">
            <w:rPr>
              <w:rFonts w:ascii="Book Antiqua" w:hAnsi="Book Antiqua"/>
              <w:b/>
              <w:bCs/>
              <w:noProof/>
              <w:sz w:val="18"/>
              <w:szCs w:val="18"/>
            </w:rPr>
            <w:t xml:space="preserve">: </w:t>
          </w:r>
          <w:r>
            <w:rPr>
              <w:rFonts w:ascii="Book Antiqua" w:hAnsi="Book Antiqua"/>
              <w:b/>
              <w:bCs/>
              <w:noProof/>
              <w:sz w:val="18"/>
              <w:szCs w:val="18"/>
            </w:rPr>
            <w:t>Source of Obligation| Law111</w:t>
          </w:r>
        </w:p>
      </w:tc>
      <w:tc>
        <w:tcPr>
          <w:tcW w:w="1943" w:type="dxa"/>
          <w:tcBorders>
            <w:top w:val="nil"/>
            <w:left w:val="nil"/>
            <w:bottom w:val="nil"/>
            <w:right w:val="nil"/>
          </w:tcBorders>
          <w:shd w:val="clear" w:color="auto" w:fill="auto"/>
        </w:tcPr>
        <w:p w:rsidR="001F663D" w:rsidRPr="00A90FDE" w:rsidRDefault="001F663D" w:rsidP="001F663D">
          <w:pPr>
            <w:ind w:left="-108"/>
            <w:rPr>
              <w:rFonts w:ascii="Book Antiqua" w:hAnsi="Book Antiqua"/>
              <w:b/>
              <w:bCs/>
              <w:iCs/>
              <w:noProof/>
              <w:sz w:val="18"/>
              <w:szCs w:val="18"/>
            </w:rPr>
          </w:pPr>
          <w:r w:rsidRPr="00A90FDE">
            <w:rPr>
              <w:rFonts w:ascii="Book Antiqua" w:hAnsi="Book Antiqua"/>
              <w:b/>
              <w:bCs/>
              <w:iCs/>
              <w:noProof/>
              <w:sz w:val="18"/>
              <w:szCs w:val="18"/>
            </w:rPr>
            <w:t xml:space="preserve"> SECTION</w:t>
          </w:r>
        </w:p>
      </w:tc>
      <w:tc>
        <w:tcPr>
          <w:tcW w:w="1242" w:type="dxa"/>
          <w:tcBorders>
            <w:top w:val="nil"/>
            <w:left w:val="nil"/>
            <w:bottom w:val="nil"/>
          </w:tcBorders>
          <w:shd w:val="clear" w:color="auto" w:fill="auto"/>
        </w:tcPr>
        <w:p w:rsidR="001F663D" w:rsidRPr="00A90FDE" w:rsidRDefault="001F663D" w:rsidP="001F663D">
          <w:pPr>
            <w:ind w:left="-108"/>
            <w:rPr>
              <w:rFonts w:ascii="Book Antiqua" w:hAnsi="Book Antiqua"/>
              <w:b/>
              <w:bCs/>
              <w:iCs/>
              <w:noProof/>
              <w:sz w:val="18"/>
              <w:szCs w:val="18"/>
            </w:rPr>
          </w:pPr>
          <w:r w:rsidRPr="00A90FDE">
            <w:rPr>
              <w:rFonts w:ascii="Book Antiqua" w:hAnsi="Book Antiqua"/>
              <w:b/>
              <w:bCs/>
              <w:noProof/>
              <w:sz w:val="18"/>
              <w:szCs w:val="18"/>
            </w:rPr>
            <w:t>:</w:t>
          </w:r>
          <w:r>
            <w:rPr>
              <w:rFonts w:ascii="Book Antiqua" w:hAnsi="Book Antiqua"/>
              <w:b/>
              <w:bCs/>
              <w:noProof/>
              <w:sz w:val="18"/>
              <w:szCs w:val="18"/>
            </w:rPr>
            <w:t xml:space="preserve"> 206/306</w:t>
          </w:r>
          <w:r w:rsidRPr="00A90FDE">
            <w:rPr>
              <w:rFonts w:ascii="Book Antiqua" w:hAnsi="Book Antiqua"/>
              <w:b/>
              <w:bCs/>
              <w:noProof/>
              <w:sz w:val="18"/>
              <w:szCs w:val="18"/>
            </w:rPr>
            <w:t xml:space="preserve"> </w:t>
          </w:r>
        </w:p>
      </w:tc>
    </w:tr>
    <w:tr w:rsidR="001F663D" w:rsidRPr="00A90FDE" w:rsidTr="002E614A">
      <w:trPr>
        <w:trHeight w:val="348"/>
      </w:trPr>
      <w:tc>
        <w:tcPr>
          <w:tcW w:w="2820" w:type="dxa"/>
          <w:tcBorders>
            <w:top w:val="nil"/>
            <w:bottom w:val="nil"/>
            <w:right w:val="nil"/>
          </w:tcBorders>
          <w:shd w:val="clear" w:color="auto" w:fill="auto"/>
        </w:tcPr>
        <w:p w:rsidR="001F663D" w:rsidRPr="00A90FDE" w:rsidRDefault="001F663D" w:rsidP="001F663D">
          <w:pPr>
            <w:tabs>
              <w:tab w:val="left" w:pos="1692"/>
            </w:tabs>
            <w:ind w:left="-108"/>
            <w:rPr>
              <w:rFonts w:ascii="Book Antiqua" w:hAnsi="Book Antiqua"/>
              <w:b/>
              <w:bCs/>
              <w:iCs/>
              <w:noProof/>
              <w:sz w:val="18"/>
              <w:szCs w:val="18"/>
            </w:rPr>
          </w:pPr>
          <w:r w:rsidRPr="00A90FDE">
            <w:rPr>
              <w:rFonts w:ascii="Book Antiqua" w:hAnsi="Book Antiqua"/>
              <w:b/>
              <w:bCs/>
              <w:iCs/>
              <w:noProof/>
              <w:sz w:val="18"/>
              <w:szCs w:val="18"/>
            </w:rPr>
            <w:t>INSTRUCTOR</w:t>
          </w:r>
        </w:p>
      </w:tc>
      <w:tc>
        <w:tcPr>
          <w:tcW w:w="4296" w:type="dxa"/>
          <w:tcBorders>
            <w:top w:val="nil"/>
            <w:left w:val="nil"/>
            <w:bottom w:val="nil"/>
            <w:right w:val="nil"/>
          </w:tcBorders>
          <w:shd w:val="clear" w:color="auto" w:fill="auto"/>
        </w:tcPr>
        <w:p w:rsidR="001F663D" w:rsidRPr="00A90FDE" w:rsidRDefault="001F663D" w:rsidP="001F663D">
          <w:pPr>
            <w:ind w:left="-108"/>
            <w:rPr>
              <w:rFonts w:ascii="Book Antiqua" w:hAnsi="Book Antiqua"/>
              <w:b/>
              <w:bCs/>
              <w:iCs/>
              <w:noProof/>
              <w:sz w:val="18"/>
              <w:szCs w:val="18"/>
            </w:rPr>
          </w:pPr>
          <w:r w:rsidRPr="00A90FDE">
            <w:rPr>
              <w:rFonts w:ascii="Book Antiqua" w:hAnsi="Book Antiqua"/>
              <w:b/>
              <w:bCs/>
              <w:noProof/>
              <w:sz w:val="18"/>
              <w:szCs w:val="18"/>
            </w:rPr>
            <w:t>: Mohammed  Alsudais</w:t>
          </w:r>
        </w:p>
      </w:tc>
      <w:tc>
        <w:tcPr>
          <w:tcW w:w="1943" w:type="dxa"/>
          <w:tcBorders>
            <w:top w:val="nil"/>
            <w:left w:val="nil"/>
            <w:bottom w:val="nil"/>
            <w:right w:val="nil"/>
          </w:tcBorders>
          <w:shd w:val="clear" w:color="auto" w:fill="auto"/>
        </w:tcPr>
        <w:p w:rsidR="001F663D" w:rsidRPr="00A90FDE" w:rsidRDefault="001F663D" w:rsidP="001F663D">
          <w:pPr>
            <w:rPr>
              <w:rFonts w:ascii="Book Antiqua" w:hAnsi="Book Antiqua"/>
              <w:b/>
              <w:bCs/>
              <w:iCs/>
              <w:noProof/>
              <w:sz w:val="18"/>
              <w:szCs w:val="18"/>
            </w:rPr>
          </w:pPr>
        </w:p>
      </w:tc>
      <w:tc>
        <w:tcPr>
          <w:tcW w:w="2075" w:type="dxa"/>
          <w:gridSpan w:val="2"/>
          <w:tcBorders>
            <w:top w:val="nil"/>
            <w:left w:val="nil"/>
            <w:bottom w:val="nil"/>
          </w:tcBorders>
          <w:shd w:val="clear" w:color="auto" w:fill="auto"/>
        </w:tcPr>
        <w:p w:rsidR="001F663D" w:rsidRPr="00A90FDE" w:rsidRDefault="001F663D" w:rsidP="001F663D">
          <w:pPr>
            <w:ind w:left="-108"/>
            <w:rPr>
              <w:rFonts w:ascii="Book Antiqua" w:hAnsi="Book Antiqua"/>
              <w:b/>
              <w:bCs/>
              <w:iCs/>
              <w:noProof/>
              <w:sz w:val="18"/>
              <w:szCs w:val="18"/>
            </w:rPr>
          </w:pPr>
        </w:p>
      </w:tc>
    </w:tr>
    <w:tr w:rsidR="001F663D" w:rsidRPr="00A90FDE" w:rsidTr="002E614A">
      <w:trPr>
        <w:trHeight w:val="176"/>
      </w:trPr>
      <w:tc>
        <w:tcPr>
          <w:tcW w:w="2820" w:type="dxa"/>
          <w:tcBorders>
            <w:top w:val="nil"/>
            <w:bottom w:val="nil"/>
            <w:right w:val="nil"/>
          </w:tcBorders>
          <w:shd w:val="clear" w:color="auto" w:fill="auto"/>
        </w:tcPr>
        <w:p w:rsidR="001F663D" w:rsidRPr="00A90FDE" w:rsidRDefault="001F663D" w:rsidP="001F663D">
          <w:pPr>
            <w:tabs>
              <w:tab w:val="left" w:pos="1692"/>
            </w:tabs>
            <w:rPr>
              <w:rFonts w:ascii="Book Antiqua" w:hAnsi="Book Antiqua"/>
              <w:b/>
              <w:bCs/>
              <w:iCs/>
              <w:noProof/>
              <w:sz w:val="18"/>
              <w:szCs w:val="18"/>
            </w:rPr>
          </w:pPr>
        </w:p>
      </w:tc>
      <w:tc>
        <w:tcPr>
          <w:tcW w:w="4296" w:type="dxa"/>
          <w:tcBorders>
            <w:top w:val="nil"/>
            <w:left w:val="nil"/>
            <w:bottom w:val="nil"/>
            <w:right w:val="nil"/>
          </w:tcBorders>
          <w:shd w:val="clear" w:color="auto" w:fill="auto"/>
        </w:tcPr>
        <w:p w:rsidR="001F663D" w:rsidRPr="00A90FDE" w:rsidRDefault="001F663D" w:rsidP="001F663D">
          <w:pPr>
            <w:ind w:left="-108"/>
            <w:rPr>
              <w:rFonts w:ascii="Book Antiqua" w:hAnsi="Book Antiqua"/>
              <w:b/>
              <w:bCs/>
              <w:noProof/>
              <w:sz w:val="18"/>
              <w:szCs w:val="18"/>
            </w:rPr>
          </w:pPr>
          <w:r w:rsidRPr="00A90FDE">
            <w:rPr>
              <w:rFonts w:ascii="Book Antiqua" w:hAnsi="Book Antiqua"/>
              <w:b/>
              <w:bCs/>
              <w:noProof/>
              <w:sz w:val="18"/>
              <w:szCs w:val="18"/>
            </w:rPr>
            <w:t xml:space="preserve">: </w:t>
          </w:r>
        </w:p>
      </w:tc>
      <w:tc>
        <w:tcPr>
          <w:tcW w:w="1943" w:type="dxa"/>
          <w:tcBorders>
            <w:top w:val="nil"/>
            <w:left w:val="nil"/>
            <w:bottom w:val="nil"/>
            <w:right w:val="nil"/>
          </w:tcBorders>
          <w:shd w:val="clear" w:color="auto" w:fill="auto"/>
        </w:tcPr>
        <w:p w:rsidR="001F663D" w:rsidRPr="00A90FDE" w:rsidRDefault="001F663D" w:rsidP="001F663D">
          <w:pPr>
            <w:ind w:left="-108"/>
            <w:rPr>
              <w:rFonts w:ascii="Book Antiqua" w:hAnsi="Book Antiqua"/>
              <w:b/>
              <w:bCs/>
              <w:iCs/>
              <w:noProof/>
              <w:sz w:val="18"/>
              <w:szCs w:val="18"/>
            </w:rPr>
          </w:pPr>
          <w:r w:rsidRPr="00A90FDE">
            <w:rPr>
              <w:rFonts w:ascii="Book Antiqua" w:hAnsi="Book Antiqua"/>
              <w:b/>
              <w:bCs/>
              <w:iCs/>
              <w:noProof/>
              <w:sz w:val="18"/>
              <w:szCs w:val="18"/>
            </w:rPr>
            <w:t xml:space="preserve">TOTAL MARKS </w:t>
          </w:r>
        </w:p>
      </w:tc>
      <w:tc>
        <w:tcPr>
          <w:tcW w:w="2075" w:type="dxa"/>
          <w:gridSpan w:val="2"/>
          <w:tcBorders>
            <w:top w:val="nil"/>
            <w:left w:val="nil"/>
            <w:bottom w:val="nil"/>
          </w:tcBorders>
          <w:shd w:val="clear" w:color="auto" w:fill="auto"/>
        </w:tcPr>
        <w:p w:rsidR="001F663D" w:rsidRPr="00A90FDE" w:rsidRDefault="001F663D" w:rsidP="001F663D">
          <w:pPr>
            <w:ind w:left="-108"/>
            <w:rPr>
              <w:rFonts w:ascii="Book Antiqua" w:hAnsi="Book Antiqua"/>
              <w:b/>
              <w:bCs/>
              <w:iCs/>
              <w:noProof/>
              <w:sz w:val="18"/>
              <w:szCs w:val="18"/>
            </w:rPr>
          </w:pPr>
          <w:r w:rsidRPr="00A90FDE">
            <w:rPr>
              <w:rFonts w:ascii="Book Antiqua" w:hAnsi="Book Antiqua"/>
              <w:b/>
              <w:bCs/>
              <w:noProof/>
              <w:sz w:val="18"/>
              <w:szCs w:val="18"/>
            </w:rPr>
            <w:t xml:space="preserve">: </w:t>
          </w:r>
          <w:r w:rsidRPr="00A90FDE">
            <w:rPr>
              <w:rFonts w:ascii="Book Antiqua" w:hAnsi="Book Antiqua"/>
              <w:b/>
              <w:bCs/>
              <w:iCs/>
              <w:noProof/>
              <w:sz w:val="18"/>
              <w:szCs w:val="18"/>
            </w:rPr>
            <w:t>20 Marks</w:t>
          </w:r>
        </w:p>
        <w:p w:rsidR="001F663D" w:rsidRPr="00A90FDE" w:rsidRDefault="001F663D" w:rsidP="001F663D">
          <w:pPr>
            <w:ind w:left="-108"/>
            <w:rPr>
              <w:rFonts w:ascii="Book Antiqua" w:hAnsi="Book Antiqua"/>
              <w:b/>
              <w:bCs/>
              <w:iCs/>
              <w:noProof/>
              <w:sz w:val="18"/>
              <w:szCs w:val="18"/>
            </w:rPr>
          </w:pPr>
        </w:p>
        <w:p w:rsidR="001F663D" w:rsidRPr="00A90FDE" w:rsidRDefault="001F663D" w:rsidP="001F663D">
          <w:pPr>
            <w:ind w:left="-108"/>
            <w:rPr>
              <w:rFonts w:ascii="Book Antiqua" w:hAnsi="Book Antiqua"/>
              <w:b/>
              <w:bCs/>
              <w:iCs/>
              <w:noProof/>
              <w:sz w:val="18"/>
              <w:szCs w:val="18"/>
            </w:rPr>
          </w:pPr>
        </w:p>
      </w:tc>
    </w:tr>
  </w:tbl>
  <w:p w:rsidR="001F663D" w:rsidRPr="00A90FDE" w:rsidRDefault="001F663D" w:rsidP="001F663D">
    <w:pPr>
      <w:jc w:val="both"/>
      <w:rPr>
        <w:rFonts w:ascii="Book Antiqua" w:hAnsi="Book Antiqua"/>
        <w:b/>
        <w:bCs/>
        <w:sz w:val="18"/>
        <w:szCs w:val="18"/>
      </w:rPr>
    </w:pPr>
    <w:r w:rsidRPr="00A90FDE">
      <w:rPr>
        <w:rFonts w:ascii="Book Antiqua" w:hAnsi="Book Antiqua"/>
        <w:b/>
        <w:bCs/>
        <w:sz w:val="18"/>
        <w:szCs w:val="18"/>
      </w:rPr>
      <w:t>STUDENTNAME: ____________________________________ID____________________________</w:t>
    </w:r>
  </w:p>
  <w:p w:rsidR="001F663D" w:rsidRDefault="001F66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077EFC"/>
    <w:multiLevelType w:val="hybridMultilevel"/>
    <w:tmpl w:val="9E128904"/>
    <w:lvl w:ilvl="0" w:tplc="B70CD1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63D"/>
    <w:rsid w:val="001F663D"/>
    <w:rsid w:val="00235E69"/>
    <w:rsid w:val="007369B3"/>
    <w:rsid w:val="009A1D3F"/>
    <w:rsid w:val="00E66791"/>
    <w:rsid w:val="00FB5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9ECC3"/>
  <w15:chartTrackingRefBased/>
  <w15:docId w15:val="{4D5FB0B0-7F11-48A4-9EE5-811636A7F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6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663D"/>
    <w:pPr>
      <w:ind w:left="720"/>
      <w:contextualSpacing/>
    </w:pPr>
  </w:style>
  <w:style w:type="paragraph" w:styleId="Header">
    <w:name w:val="header"/>
    <w:basedOn w:val="Normal"/>
    <w:link w:val="HeaderChar"/>
    <w:uiPriority w:val="99"/>
    <w:unhideWhenUsed/>
    <w:rsid w:val="001F6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63D"/>
  </w:style>
  <w:style w:type="paragraph" w:styleId="Footer">
    <w:name w:val="footer"/>
    <w:basedOn w:val="Normal"/>
    <w:link w:val="FooterChar"/>
    <w:uiPriority w:val="99"/>
    <w:unhideWhenUsed/>
    <w:rsid w:val="001F6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joseh</dc:creator>
  <cp:keywords/>
  <dc:description/>
  <cp:lastModifiedBy>Windows User</cp:lastModifiedBy>
  <cp:revision>2</cp:revision>
  <dcterms:created xsi:type="dcterms:W3CDTF">2020-04-08T17:26:00Z</dcterms:created>
  <dcterms:modified xsi:type="dcterms:W3CDTF">2020-04-08T17:26:00Z</dcterms:modified>
</cp:coreProperties>
</file>